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CEA13">
      <w:pPr>
        <w:jc w:val="center"/>
        <w:rPr>
          <w:rFonts w:ascii="宋体" w:hAnsi="宋体" w:cs="仿宋_GB2312"/>
          <w:b/>
          <w:sz w:val="32"/>
          <w:szCs w:val="32"/>
        </w:rPr>
      </w:pPr>
    </w:p>
    <w:p w14:paraId="16C29770">
      <w:pPr>
        <w:jc w:val="center"/>
        <w:rPr>
          <w:rFonts w:ascii="宋体" w:hAnsi="宋体" w:cs="仿宋_GB2312"/>
          <w:b/>
          <w:sz w:val="32"/>
          <w:szCs w:val="32"/>
        </w:rPr>
      </w:pPr>
    </w:p>
    <w:p w14:paraId="509E0055">
      <w:pPr>
        <w:jc w:val="center"/>
        <w:rPr>
          <w:rFonts w:ascii="宋体" w:hAnsi="宋体" w:cs="仿宋_GB2312"/>
          <w:b/>
          <w:sz w:val="32"/>
          <w:szCs w:val="32"/>
        </w:rPr>
      </w:pPr>
    </w:p>
    <w:p w14:paraId="0FE83F2F">
      <w:pPr>
        <w:jc w:val="center"/>
        <w:rPr>
          <w:rFonts w:ascii="宋体" w:hAnsi="宋体" w:cs="仿宋_GB2312"/>
          <w:b/>
          <w:sz w:val="44"/>
          <w:szCs w:val="44"/>
        </w:rPr>
      </w:pPr>
      <w:r>
        <w:rPr>
          <w:rFonts w:hint="eastAsia" w:ascii="宋体" w:hAnsi="宋体" w:cs="仿宋_GB2312"/>
          <w:b/>
          <w:sz w:val="44"/>
          <w:szCs w:val="44"/>
        </w:rPr>
        <w:t>工程类比长仪校准规范</w:t>
      </w:r>
    </w:p>
    <w:p w14:paraId="3570891A">
      <w:pPr>
        <w:jc w:val="center"/>
        <w:rPr>
          <w:rFonts w:ascii="宋体" w:cs="方正小标宋简体"/>
          <w:b/>
          <w:sz w:val="44"/>
          <w:szCs w:val="44"/>
        </w:rPr>
      </w:pPr>
      <w:r>
        <w:rPr>
          <w:rFonts w:hint="eastAsia" w:ascii="宋体" w:hAnsi="宋体" w:cs="宋体"/>
          <w:b/>
          <w:sz w:val="44"/>
          <w:szCs w:val="44"/>
        </w:rPr>
        <w:t>编写说明</w:t>
      </w:r>
    </w:p>
    <w:p w14:paraId="0DD0A62F">
      <w:pPr>
        <w:spacing w:line="400" w:lineRule="auto"/>
        <w:ind w:firstLine="562"/>
        <w:rPr>
          <w:rFonts w:ascii="宋体" w:cs="Calibri"/>
          <w:sz w:val="28"/>
        </w:rPr>
      </w:pPr>
    </w:p>
    <w:p w14:paraId="12EB4A7E">
      <w:pPr>
        <w:spacing w:line="400" w:lineRule="auto"/>
        <w:ind w:firstLine="562"/>
        <w:rPr>
          <w:rFonts w:ascii="宋体" w:cs="Calibri"/>
          <w:sz w:val="28"/>
        </w:rPr>
      </w:pPr>
    </w:p>
    <w:p w14:paraId="53C259F7">
      <w:pPr>
        <w:spacing w:line="400" w:lineRule="auto"/>
        <w:ind w:firstLine="562"/>
        <w:rPr>
          <w:rFonts w:ascii="宋体" w:cs="Calibri"/>
          <w:sz w:val="28"/>
        </w:rPr>
      </w:pPr>
    </w:p>
    <w:p w14:paraId="1AD8DA0A">
      <w:pPr>
        <w:spacing w:line="400" w:lineRule="auto"/>
        <w:ind w:firstLine="562"/>
        <w:rPr>
          <w:rFonts w:ascii="宋体" w:cs="Calibri"/>
          <w:sz w:val="28"/>
        </w:rPr>
      </w:pPr>
    </w:p>
    <w:p w14:paraId="3014E115">
      <w:pPr>
        <w:spacing w:line="400" w:lineRule="auto"/>
        <w:ind w:firstLine="562"/>
        <w:rPr>
          <w:rFonts w:ascii="宋体" w:cs="Calibri"/>
          <w:sz w:val="28"/>
        </w:rPr>
      </w:pPr>
    </w:p>
    <w:p w14:paraId="1F21B6FB">
      <w:pPr>
        <w:spacing w:line="400" w:lineRule="auto"/>
        <w:ind w:firstLine="562"/>
        <w:rPr>
          <w:rFonts w:ascii="宋体" w:cs="Calibri"/>
          <w:sz w:val="28"/>
        </w:rPr>
      </w:pPr>
    </w:p>
    <w:p w14:paraId="49212EE2">
      <w:pPr>
        <w:spacing w:line="400" w:lineRule="auto"/>
        <w:ind w:firstLine="562"/>
        <w:rPr>
          <w:rFonts w:ascii="宋体" w:cs="Calibri"/>
          <w:sz w:val="28"/>
        </w:rPr>
      </w:pPr>
    </w:p>
    <w:p w14:paraId="11B5FBDF">
      <w:pPr>
        <w:spacing w:line="400" w:lineRule="auto"/>
        <w:ind w:firstLine="562"/>
        <w:rPr>
          <w:rFonts w:ascii="宋体" w:cs="Calibri"/>
          <w:sz w:val="28"/>
        </w:rPr>
      </w:pPr>
    </w:p>
    <w:p w14:paraId="543817FB">
      <w:pPr>
        <w:spacing w:line="400" w:lineRule="auto"/>
        <w:ind w:firstLine="562"/>
        <w:rPr>
          <w:rFonts w:ascii="宋体" w:cs="Calibri"/>
          <w:sz w:val="28"/>
        </w:rPr>
      </w:pPr>
    </w:p>
    <w:p w14:paraId="29888FE3">
      <w:pPr>
        <w:spacing w:line="400" w:lineRule="auto"/>
        <w:ind w:firstLine="562"/>
        <w:rPr>
          <w:rFonts w:ascii="宋体" w:cs="Calibri"/>
          <w:sz w:val="28"/>
        </w:rPr>
      </w:pPr>
    </w:p>
    <w:p w14:paraId="2D55D0D7">
      <w:pPr>
        <w:ind w:right="1280" w:firstLine="2800" w:firstLineChars="1000"/>
        <w:rPr>
          <w:rFonts w:ascii="宋体" w:hAnsi="宋体" w:cs="Arial"/>
          <w:b/>
          <w:color w:val="000000"/>
          <w:sz w:val="32"/>
          <w:szCs w:val="32"/>
        </w:rPr>
      </w:pPr>
      <w:r>
        <w:rPr>
          <w:rFonts w:hint="eastAsia" w:ascii="宋体" w:cs="Calibri"/>
          <w:sz w:val="28"/>
        </w:rPr>
        <w:t xml:space="preserve"> </w:t>
      </w:r>
      <w:r>
        <w:rPr>
          <w:rFonts w:hint="eastAsia" w:ascii="宋体" w:cs="Calibri"/>
          <w:b/>
          <w:sz w:val="28"/>
        </w:rPr>
        <w:t xml:space="preserve"> </w:t>
      </w:r>
      <w:r>
        <w:rPr>
          <w:rFonts w:hint="eastAsia" w:ascii="宋体" w:hAnsi="宋体" w:cs="Arial"/>
          <w:b/>
          <w:color w:val="000000"/>
          <w:sz w:val="32"/>
          <w:szCs w:val="32"/>
        </w:rPr>
        <w:t>主要起草人：郝入锦</w:t>
      </w:r>
    </w:p>
    <w:p w14:paraId="6E1F70AD">
      <w:pPr>
        <w:jc w:val="center"/>
        <w:rPr>
          <w:rFonts w:ascii="宋体" w:hAnsi="宋体" w:cs="Arial"/>
          <w:b/>
          <w:color w:val="000000"/>
          <w:sz w:val="32"/>
          <w:szCs w:val="32"/>
        </w:rPr>
      </w:pPr>
    </w:p>
    <w:p w14:paraId="289A8263">
      <w:pPr>
        <w:jc w:val="center"/>
        <w:rPr>
          <w:rFonts w:ascii="宋体" w:hAnsi="宋体" w:cs="Arial"/>
          <w:b/>
          <w:color w:val="000000"/>
          <w:sz w:val="32"/>
          <w:szCs w:val="32"/>
        </w:rPr>
      </w:pPr>
      <w:r>
        <w:rPr>
          <w:rFonts w:hint="eastAsia" w:ascii="宋体" w:hAnsi="宋体"/>
          <w:b/>
          <w:sz w:val="32"/>
          <w:szCs w:val="32"/>
        </w:rPr>
        <w:t>长春市</w:t>
      </w:r>
      <w:r>
        <w:rPr>
          <w:rFonts w:ascii="宋体" w:hAnsi="宋体"/>
          <w:b/>
          <w:sz w:val="32"/>
          <w:szCs w:val="32"/>
        </w:rPr>
        <w:t>计量检定测试技术研究院</w:t>
      </w:r>
    </w:p>
    <w:p w14:paraId="029531F4">
      <w:pPr>
        <w:jc w:val="center"/>
        <w:rPr>
          <w:rFonts w:ascii="宋体" w:hAnsi="宋体" w:cs="Arial"/>
          <w:b/>
          <w:color w:val="000000"/>
          <w:sz w:val="32"/>
          <w:szCs w:val="32"/>
        </w:rPr>
      </w:pPr>
    </w:p>
    <w:p w14:paraId="05D001EC">
      <w:pPr>
        <w:jc w:val="center"/>
        <w:rPr>
          <w:rFonts w:ascii="宋体" w:hAnsi="宋体" w:cs="Arial"/>
          <w:b/>
          <w:color w:val="000000"/>
          <w:sz w:val="32"/>
          <w:szCs w:val="32"/>
        </w:rPr>
      </w:pPr>
      <w:r>
        <w:rPr>
          <w:rFonts w:hint="eastAsia" w:ascii="宋体" w:hAnsi="宋体" w:cs="Arial"/>
          <w:b/>
          <w:color w:val="000000"/>
          <w:sz w:val="32"/>
          <w:szCs w:val="32"/>
        </w:rPr>
        <w:t>202</w:t>
      </w:r>
      <w:r>
        <w:rPr>
          <w:rFonts w:ascii="宋体" w:hAnsi="宋体" w:cs="Arial"/>
          <w:b/>
          <w:color w:val="000000"/>
          <w:sz w:val="32"/>
          <w:szCs w:val="32"/>
        </w:rPr>
        <w:t>4</w:t>
      </w:r>
      <w:r>
        <w:rPr>
          <w:rFonts w:hint="eastAsia" w:ascii="宋体" w:hAnsi="宋体" w:cs="Arial"/>
          <w:b/>
          <w:color w:val="000000"/>
          <w:sz w:val="32"/>
          <w:szCs w:val="32"/>
        </w:rPr>
        <w:t>年0</w:t>
      </w:r>
      <w:r>
        <w:rPr>
          <w:rFonts w:ascii="宋体" w:hAnsi="宋体" w:cs="Arial"/>
          <w:b/>
          <w:color w:val="000000"/>
          <w:sz w:val="32"/>
          <w:szCs w:val="32"/>
        </w:rPr>
        <w:t>6</w:t>
      </w:r>
      <w:r>
        <w:rPr>
          <w:rFonts w:hint="eastAsia" w:ascii="宋体" w:hAnsi="宋体" w:cs="Arial"/>
          <w:b/>
          <w:color w:val="000000"/>
          <w:sz w:val="32"/>
          <w:szCs w:val="32"/>
        </w:rPr>
        <w:t>月</w:t>
      </w:r>
    </w:p>
    <w:p w14:paraId="01DB55A7">
      <w:pPr>
        <w:jc w:val="center"/>
        <w:rPr>
          <w:rFonts w:ascii="方正小标宋简体" w:hAnsi="黑体" w:eastAsia="方正小标宋简体" w:cs="Arial"/>
          <w:color w:val="000000"/>
          <w:sz w:val="32"/>
          <w:szCs w:val="32"/>
        </w:rPr>
      </w:pPr>
    </w:p>
    <w:p w14:paraId="1FD1A55B">
      <w:pPr>
        <w:spacing w:line="400" w:lineRule="auto"/>
        <w:ind w:firstLine="562"/>
        <w:rPr>
          <w:rFonts w:ascii="宋体" w:cs="仿宋_GB2312"/>
          <w:sz w:val="28"/>
        </w:rPr>
      </w:pPr>
      <w:r>
        <w:rPr>
          <w:rFonts w:ascii="宋体" w:cs="仿宋_GB2312"/>
          <w:sz w:val="28"/>
        </w:rPr>
        <w:t xml:space="preserve"> </w:t>
      </w:r>
    </w:p>
    <w:p w14:paraId="39519A9B">
      <w:pPr>
        <w:spacing w:line="400" w:lineRule="auto"/>
        <w:ind w:firstLine="562"/>
        <w:rPr>
          <w:rFonts w:ascii="宋体" w:cs="仿宋_GB2312"/>
          <w:sz w:val="28"/>
        </w:rPr>
      </w:pPr>
      <w:r>
        <w:rPr>
          <w:rFonts w:hint="eastAsia" w:ascii="方正小标宋简体" w:eastAsia="方正小标宋简体"/>
          <w:bCs/>
          <w:sz w:val="44"/>
          <w:szCs w:val="44"/>
        </w:rPr>
        <w:t xml:space="preserve">    工程类比长仪校准规范编写说明</w:t>
      </w:r>
    </w:p>
    <w:p w14:paraId="1B6192D0">
      <w:pPr>
        <w:spacing w:line="720" w:lineRule="auto"/>
        <w:ind w:firstLine="562"/>
        <w:rPr>
          <w:rFonts w:ascii="黑体" w:hAnsi="黑体" w:eastAsia="黑体" w:cs="黑体"/>
          <w:sz w:val="24"/>
          <w:szCs w:val="24"/>
        </w:rPr>
      </w:pPr>
      <w:r>
        <w:rPr>
          <w:rFonts w:hint="eastAsia" w:ascii="黑体" w:hAnsi="黑体" w:eastAsia="黑体" w:cs="黑体"/>
          <w:sz w:val="24"/>
          <w:szCs w:val="24"/>
        </w:rPr>
        <w:t>一、任务来源</w:t>
      </w:r>
    </w:p>
    <w:p w14:paraId="2C52F871">
      <w:pPr>
        <w:spacing w:line="360" w:lineRule="auto"/>
        <w:ind w:firstLine="480" w:firstLineChars="200"/>
        <w:rPr>
          <w:rFonts w:ascii="Times New Roman" w:hAnsi="Times New Roman"/>
          <w:color w:val="000000"/>
          <w:kern w:val="0"/>
          <w:sz w:val="24"/>
          <w:szCs w:val="24"/>
        </w:rPr>
      </w:pPr>
      <w:r>
        <w:rPr>
          <w:rFonts w:hint="eastAsia" w:ascii="宋体" w:hAnsi="宋体"/>
          <w:sz w:val="24"/>
          <w:szCs w:val="24"/>
        </w:rPr>
        <w:t>依据《吉林省市场监督管理厅地方计量检定规程和计量校准规范制定修订工作办理程序》，通知要求起草地方标准规范。地方校准规范的制定，旨在加强计量监督管理，保障国家计量单位制的统一和量值的准确，促进生产、贸易和科学技术的发展。</w:t>
      </w:r>
    </w:p>
    <w:p w14:paraId="4C1CCECC">
      <w:pPr>
        <w:spacing w:line="720" w:lineRule="auto"/>
        <w:ind w:firstLine="562"/>
        <w:rPr>
          <w:rFonts w:ascii="黑体" w:hAnsi="黑体" w:eastAsia="黑体" w:cs="黑体"/>
          <w:sz w:val="24"/>
          <w:szCs w:val="24"/>
        </w:rPr>
      </w:pPr>
      <w:r>
        <w:rPr>
          <w:rFonts w:hint="eastAsia" w:ascii="黑体" w:hAnsi="黑体" w:eastAsia="黑体" w:cs="黑体"/>
          <w:sz w:val="24"/>
          <w:szCs w:val="24"/>
        </w:rPr>
        <w:t>二、项目背景</w:t>
      </w:r>
    </w:p>
    <w:p w14:paraId="3CD19E18">
      <w:pPr>
        <w:spacing w:line="400" w:lineRule="auto"/>
        <w:ind w:firstLine="562"/>
        <w:rPr>
          <w:rFonts w:ascii="宋体" w:hAnsi="宋体"/>
          <w:sz w:val="24"/>
          <w:szCs w:val="24"/>
        </w:rPr>
      </w:pPr>
      <w:r>
        <w:rPr>
          <w:rFonts w:hint="eastAsia" w:ascii="宋体" w:hAnsi="宋体"/>
          <w:sz w:val="24"/>
          <w:szCs w:val="24"/>
        </w:rPr>
        <w:t>工程类比长仪被广泛应用工程领域，其给出的数据参与混凝土、砂浆等试件膨胀率的计算，直接影响工程建设的整体质量。因此工程类比长仪需要进行计量校准。</w:t>
      </w:r>
    </w:p>
    <w:p w14:paraId="12F15CA0">
      <w:pPr>
        <w:spacing w:line="400" w:lineRule="auto"/>
        <w:ind w:firstLine="562"/>
        <w:rPr>
          <w:rFonts w:ascii="宋体" w:hAnsi="宋体" w:cs="仿宋_GB2312"/>
          <w:sz w:val="24"/>
          <w:szCs w:val="24"/>
        </w:rPr>
      </w:pPr>
      <w:r>
        <w:rPr>
          <w:rFonts w:hint="eastAsia" w:ascii="宋体" w:hAnsi="宋体"/>
          <w:sz w:val="24"/>
          <w:szCs w:val="24"/>
        </w:rPr>
        <w:t>目前我省尚无正式颁布的工程类比长仪检定规程和校准规范等相关技术法规，为了保证工程类比长仪计量特性的准确可靠，需要制定等工程类比长仪专门技术规范，为确保量值准确、统一，建立一套科学的量值评价体系是非常必要的。</w:t>
      </w:r>
    </w:p>
    <w:p w14:paraId="29846892">
      <w:pPr>
        <w:spacing w:line="720" w:lineRule="auto"/>
        <w:rPr>
          <w:rFonts w:ascii="黑体" w:hAnsi="黑体" w:eastAsia="黑体" w:cs="黑体"/>
          <w:sz w:val="24"/>
          <w:szCs w:val="24"/>
        </w:rPr>
      </w:pPr>
      <w:r>
        <w:rPr>
          <w:rFonts w:hint="eastAsia" w:ascii="宋体" w:hAnsi="宋体" w:cs="仿宋_GB2312"/>
          <w:sz w:val="24"/>
          <w:szCs w:val="24"/>
        </w:rPr>
        <w:t xml:space="preserve">   </w:t>
      </w:r>
      <w:r>
        <w:rPr>
          <w:rFonts w:hint="eastAsia" w:ascii="黑体" w:hAnsi="黑体" w:eastAsia="黑体" w:cs="黑体"/>
          <w:sz w:val="24"/>
          <w:szCs w:val="24"/>
        </w:rPr>
        <w:t xml:space="preserve"> 三、项目必要性</w:t>
      </w:r>
    </w:p>
    <w:p w14:paraId="6006B685">
      <w:pPr>
        <w:spacing w:line="400" w:lineRule="auto"/>
        <w:ind w:firstLine="562"/>
        <w:rPr>
          <w:rFonts w:ascii="宋体" w:hAnsi="宋体"/>
          <w:sz w:val="24"/>
          <w:szCs w:val="24"/>
        </w:rPr>
      </w:pPr>
      <w:r>
        <w:rPr>
          <w:rFonts w:hint="eastAsia" w:ascii="宋体" w:hAnsi="宋体"/>
          <w:sz w:val="24"/>
          <w:szCs w:val="24"/>
        </w:rPr>
        <w:t>从加强计量管理的角度出发，可使工程类比长仪的校准工作有据可循。工程类比长仪广泛应用于公路工程、建筑工程等制造研究领域，它是测量砂浆、混凝土等试件在硬化过程中长度变化的一种专用计量器具。以工程类比长仪给出的数据为依据，计算砂浆、混凝土等试件的收缩率，确定其在工作中的使用比例。从源头打牢地基，为工程安全生产服务，制定本规范是非常有必要的。</w:t>
      </w:r>
    </w:p>
    <w:p w14:paraId="422F0D50">
      <w:pPr>
        <w:spacing w:line="720" w:lineRule="auto"/>
        <w:rPr>
          <w:rFonts w:ascii="黑体" w:hAnsi="黑体" w:eastAsia="黑体" w:cs="黑体"/>
          <w:sz w:val="24"/>
          <w:szCs w:val="24"/>
        </w:rPr>
      </w:pPr>
      <w:r>
        <w:rPr>
          <w:rFonts w:hint="eastAsia" w:ascii="宋体" w:hAnsi="宋体" w:cs="仿宋_GB2312"/>
          <w:sz w:val="24"/>
          <w:szCs w:val="24"/>
        </w:rPr>
        <w:t xml:space="preserve">    </w:t>
      </w:r>
      <w:r>
        <w:rPr>
          <w:rFonts w:hint="eastAsia" w:ascii="黑体" w:hAnsi="黑体" w:eastAsia="黑体" w:cs="黑体"/>
          <w:sz w:val="24"/>
          <w:szCs w:val="24"/>
        </w:rPr>
        <w:t>四、编写依据</w:t>
      </w:r>
    </w:p>
    <w:p w14:paraId="1EB3B59A">
      <w:pPr>
        <w:spacing w:line="400" w:lineRule="auto"/>
        <w:ind w:firstLine="480" w:firstLineChars="200"/>
        <w:rPr>
          <w:rFonts w:ascii="宋体" w:hAnsi="宋体" w:cs="宋体"/>
          <w:bCs/>
          <w:sz w:val="24"/>
          <w:szCs w:val="24"/>
        </w:rPr>
      </w:pPr>
      <w:r>
        <w:rPr>
          <w:rFonts w:hint="eastAsia" w:ascii="宋体" w:hAnsi="宋体" w:cs="宋体"/>
          <w:bCs/>
          <w:sz w:val="24"/>
          <w:szCs w:val="24"/>
        </w:rPr>
        <w:t xml:space="preserve">本规范在编写过程中参考了国内相关技术文献： </w:t>
      </w:r>
    </w:p>
    <w:p w14:paraId="09FACD23">
      <w:pPr>
        <w:spacing w:line="400" w:lineRule="auto"/>
        <w:ind w:firstLine="480" w:firstLineChars="200"/>
        <w:rPr>
          <w:rFonts w:ascii="宋体" w:hAnsi="宋体" w:cs="宋体"/>
          <w:bCs/>
          <w:sz w:val="24"/>
          <w:szCs w:val="24"/>
        </w:rPr>
      </w:pPr>
      <w:r>
        <w:rPr>
          <w:rFonts w:hint="eastAsia" w:ascii="宋体" w:hAnsi="宋体" w:cs="宋体"/>
          <w:bCs/>
          <w:sz w:val="24"/>
          <w:szCs w:val="24"/>
        </w:rPr>
        <w:t>JJF 1071-2010           国家计量校准规范编写规则</w:t>
      </w:r>
    </w:p>
    <w:p w14:paraId="608B0D6C">
      <w:pPr>
        <w:spacing w:line="400" w:lineRule="auto"/>
        <w:ind w:firstLine="480" w:firstLineChars="200"/>
        <w:rPr>
          <w:rFonts w:ascii="宋体" w:hAnsi="宋体" w:cs="宋体"/>
          <w:bCs/>
          <w:sz w:val="24"/>
          <w:szCs w:val="24"/>
        </w:rPr>
      </w:pPr>
      <w:r>
        <w:rPr>
          <w:rFonts w:hint="eastAsia" w:ascii="宋体" w:hAnsi="宋体" w:cs="宋体"/>
          <w:bCs/>
          <w:sz w:val="24"/>
          <w:szCs w:val="24"/>
        </w:rPr>
        <w:t>JJF 1059.1-2012         测量不确定度评定与表示</w:t>
      </w:r>
    </w:p>
    <w:p w14:paraId="65E09E55">
      <w:pPr>
        <w:spacing w:line="400" w:lineRule="auto"/>
        <w:ind w:firstLine="480" w:firstLineChars="200"/>
        <w:rPr>
          <w:rFonts w:ascii="宋体" w:cs="宋体"/>
          <w:b/>
          <w:sz w:val="24"/>
          <w:szCs w:val="24"/>
        </w:rPr>
      </w:pPr>
      <w:r>
        <w:rPr>
          <w:rFonts w:hint="eastAsia" w:ascii="宋体" w:hAnsi="宋体" w:cs="宋体"/>
          <w:bCs/>
          <w:sz w:val="24"/>
          <w:szCs w:val="24"/>
        </w:rPr>
        <w:t>JJF 1001-2011           通用计量术语及定义</w:t>
      </w:r>
    </w:p>
    <w:p w14:paraId="108D825D">
      <w:pPr>
        <w:spacing w:line="400" w:lineRule="auto"/>
        <w:ind w:firstLine="480" w:firstLineChars="200"/>
        <w:rPr>
          <w:rFonts w:ascii="宋体" w:hAnsi="宋体" w:cs="宋体"/>
          <w:bCs/>
          <w:sz w:val="24"/>
          <w:szCs w:val="24"/>
        </w:rPr>
      </w:pPr>
      <w:r>
        <w:rPr>
          <w:rFonts w:hint="eastAsia" w:ascii="宋体" w:hAnsi="宋体" w:cs="宋体"/>
          <w:bCs/>
          <w:sz w:val="24"/>
          <w:szCs w:val="24"/>
        </w:rPr>
        <w:t>SL 137-2017             砂浆和混凝土测长仪校验方法</w:t>
      </w:r>
    </w:p>
    <w:p w14:paraId="3D47FE7D">
      <w:pPr>
        <w:spacing w:line="400" w:lineRule="auto"/>
        <w:ind w:firstLine="480" w:firstLineChars="200"/>
        <w:rPr>
          <w:rFonts w:ascii="宋体" w:hAnsi="宋体" w:cs="宋体"/>
          <w:bCs/>
          <w:sz w:val="24"/>
          <w:szCs w:val="24"/>
        </w:rPr>
      </w:pPr>
      <w:r>
        <w:rPr>
          <w:rFonts w:hint="eastAsia" w:ascii="宋体" w:hAnsi="宋体" w:cs="宋体"/>
          <w:bCs/>
          <w:sz w:val="24"/>
          <w:szCs w:val="24"/>
        </w:rPr>
        <w:t>JC/T 313-2009           膨胀水泥膨胀率试验方法</w:t>
      </w:r>
    </w:p>
    <w:p w14:paraId="1EA299A1">
      <w:pPr>
        <w:spacing w:line="400" w:lineRule="auto"/>
        <w:ind w:firstLine="480" w:firstLineChars="200"/>
        <w:rPr>
          <w:rFonts w:ascii="宋体" w:hAnsi="宋体" w:cs="宋体"/>
          <w:bCs/>
          <w:sz w:val="24"/>
          <w:szCs w:val="24"/>
        </w:rPr>
      </w:pPr>
      <w:r>
        <w:rPr>
          <w:rFonts w:hint="eastAsia" w:ascii="宋体" w:hAnsi="宋体" w:cs="宋体"/>
          <w:bCs/>
          <w:sz w:val="24"/>
          <w:szCs w:val="24"/>
        </w:rPr>
        <w:t>GB/T 23439-2017         混凝土膨胀剂</w:t>
      </w:r>
    </w:p>
    <w:p w14:paraId="3550C4A7">
      <w:pPr>
        <w:spacing w:line="720" w:lineRule="auto"/>
        <w:ind w:firstLine="562"/>
        <w:rPr>
          <w:rFonts w:ascii="黑体" w:hAnsi="黑体" w:eastAsia="黑体" w:cs="黑体"/>
          <w:sz w:val="24"/>
          <w:szCs w:val="24"/>
        </w:rPr>
      </w:pPr>
      <w:r>
        <w:rPr>
          <w:rFonts w:hint="eastAsia" w:ascii="黑体" w:hAnsi="黑体" w:eastAsia="黑体" w:cs="黑体"/>
          <w:sz w:val="24"/>
          <w:szCs w:val="24"/>
        </w:rPr>
        <w:t>五、研究内容</w:t>
      </w:r>
    </w:p>
    <w:p w14:paraId="55E0410F">
      <w:pPr>
        <w:spacing w:line="400" w:lineRule="auto"/>
        <w:ind w:firstLine="480" w:firstLineChars="200"/>
        <w:rPr>
          <w:rFonts w:ascii="宋体" w:hAnsi="宋体" w:cs="宋体"/>
          <w:bCs/>
          <w:sz w:val="24"/>
          <w:szCs w:val="24"/>
        </w:rPr>
      </w:pPr>
      <w:r>
        <w:rPr>
          <w:rFonts w:ascii="宋体" w:hAnsi="宋体" w:cs="宋体"/>
          <w:bCs/>
          <w:sz w:val="24"/>
          <w:szCs w:val="24"/>
        </w:rPr>
        <w:t>本规范适用于新购和使用中及修理后的</w:t>
      </w:r>
      <w:r>
        <w:rPr>
          <w:rFonts w:hint="eastAsia" w:ascii="宋体" w:hAnsi="宋体" w:cs="宋体"/>
          <w:bCs/>
          <w:sz w:val="24"/>
          <w:szCs w:val="24"/>
        </w:rPr>
        <w:t>工程类比</w:t>
      </w:r>
      <w:r>
        <w:rPr>
          <w:rFonts w:ascii="宋体" w:hAnsi="宋体" w:cs="宋体"/>
          <w:bCs/>
          <w:sz w:val="24"/>
          <w:szCs w:val="24"/>
        </w:rPr>
        <w:t>长仪</w:t>
      </w:r>
      <w:r>
        <w:rPr>
          <w:rFonts w:hint="eastAsia" w:ascii="宋体" w:hAnsi="宋体" w:cs="宋体"/>
          <w:bCs/>
          <w:sz w:val="24"/>
          <w:szCs w:val="24"/>
        </w:rPr>
        <w:t>，包括水泥比长仪、砂浆比长仪、碱骨料比长仪和其他结构相同或类似的比长仪</w:t>
      </w:r>
      <w:r>
        <w:rPr>
          <w:rFonts w:ascii="宋体" w:hAnsi="宋体" w:cs="宋体"/>
          <w:bCs/>
          <w:sz w:val="24"/>
          <w:szCs w:val="24"/>
        </w:rPr>
        <w:t>的校准。</w:t>
      </w:r>
    </w:p>
    <w:p w14:paraId="6D337A97">
      <w:pPr>
        <w:spacing w:line="400" w:lineRule="auto"/>
        <w:ind w:firstLine="480" w:firstLineChars="200"/>
        <w:rPr>
          <w:rFonts w:ascii="宋体" w:hAnsi="宋体" w:cs="宋体"/>
          <w:bCs/>
          <w:sz w:val="24"/>
          <w:szCs w:val="24"/>
        </w:rPr>
      </w:pPr>
      <w:r>
        <w:rPr>
          <w:rFonts w:hint="eastAsia" w:ascii="宋体" w:hAnsi="宋体" w:cs="宋体"/>
          <w:bCs/>
          <w:sz w:val="24"/>
          <w:szCs w:val="24"/>
        </w:rPr>
        <w:t>本次规范的制定，对工程类比长仪全项目指标及所用的标准器进行了详细阐述，对校准方法进行了全方位讲解，对不确定度进行了评定分析，给出了原始记录与校准证书参考格式。</w:t>
      </w:r>
    </w:p>
    <w:p w14:paraId="2DE99764">
      <w:pPr>
        <w:spacing w:line="400" w:lineRule="auto"/>
        <w:ind w:firstLine="480" w:firstLineChars="200"/>
        <w:rPr>
          <w:rFonts w:ascii="宋体" w:hAnsi="宋体" w:cs="宋体"/>
          <w:bCs/>
          <w:sz w:val="24"/>
          <w:szCs w:val="24"/>
        </w:rPr>
      </w:pPr>
      <w:r>
        <w:rPr>
          <w:rFonts w:hint="eastAsia" w:ascii="宋体" w:hAnsi="宋体" w:cs="宋体"/>
          <w:bCs/>
          <w:sz w:val="24"/>
          <w:szCs w:val="24"/>
        </w:rPr>
        <w:t>规范主要内容包括：</w:t>
      </w:r>
      <w:r>
        <w:rPr>
          <w:rFonts w:ascii="宋体" w:hAnsi="宋体" w:cs="宋体"/>
          <w:bCs/>
          <w:sz w:val="24"/>
          <w:szCs w:val="24"/>
        </w:rPr>
        <w:t>范围</w:t>
      </w:r>
      <w:r>
        <w:rPr>
          <w:rFonts w:hint="eastAsia" w:ascii="宋体" w:hAnsi="宋体" w:cs="宋体"/>
          <w:bCs/>
          <w:sz w:val="24"/>
          <w:szCs w:val="24"/>
        </w:rPr>
        <w:t>、</w:t>
      </w:r>
      <w:r>
        <w:rPr>
          <w:rFonts w:ascii="宋体" w:hAnsi="宋体" w:cs="宋体"/>
          <w:bCs/>
          <w:sz w:val="24"/>
          <w:szCs w:val="24"/>
        </w:rPr>
        <w:t>引用文件</w:t>
      </w:r>
      <w:r>
        <w:rPr>
          <w:rFonts w:hint="eastAsia" w:ascii="宋体" w:hAnsi="宋体" w:cs="宋体"/>
          <w:bCs/>
          <w:sz w:val="24"/>
          <w:szCs w:val="24"/>
        </w:rPr>
        <w:t>、</w:t>
      </w:r>
      <w:r>
        <w:rPr>
          <w:rFonts w:ascii="宋体" w:hAnsi="宋体" w:cs="宋体"/>
          <w:bCs/>
          <w:sz w:val="24"/>
          <w:szCs w:val="24"/>
        </w:rPr>
        <w:t>概述</w:t>
      </w:r>
      <w:r>
        <w:rPr>
          <w:rFonts w:hint="eastAsia" w:ascii="宋体" w:hAnsi="宋体" w:cs="宋体"/>
          <w:bCs/>
          <w:sz w:val="24"/>
          <w:szCs w:val="24"/>
        </w:rPr>
        <w:t>、</w:t>
      </w:r>
      <w:r>
        <w:rPr>
          <w:rFonts w:ascii="宋体" w:hAnsi="宋体" w:cs="宋体"/>
          <w:bCs/>
          <w:sz w:val="24"/>
          <w:szCs w:val="24"/>
        </w:rPr>
        <w:t>计量特性</w:t>
      </w:r>
      <w:r>
        <w:rPr>
          <w:rFonts w:hint="eastAsia" w:ascii="宋体" w:hAnsi="宋体" w:cs="宋体"/>
          <w:bCs/>
          <w:sz w:val="24"/>
          <w:szCs w:val="24"/>
        </w:rPr>
        <w:t>、</w:t>
      </w:r>
      <w:r>
        <w:rPr>
          <w:rFonts w:ascii="宋体" w:hAnsi="宋体" w:cs="宋体"/>
          <w:bCs/>
          <w:sz w:val="24"/>
          <w:szCs w:val="24"/>
        </w:rPr>
        <w:t>校准条件</w:t>
      </w:r>
      <w:r>
        <w:rPr>
          <w:rFonts w:hint="eastAsia" w:ascii="宋体" w:hAnsi="宋体" w:cs="宋体"/>
          <w:bCs/>
          <w:sz w:val="24"/>
          <w:szCs w:val="24"/>
        </w:rPr>
        <w:t>、</w:t>
      </w:r>
      <w:r>
        <w:rPr>
          <w:rFonts w:ascii="宋体" w:hAnsi="宋体" w:cs="宋体"/>
          <w:bCs/>
          <w:sz w:val="24"/>
          <w:szCs w:val="24"/>
        </w:rPr>
        <w:t>校准项目和校准方法</w:t>
      </w:r>
      <w:r>
        <w:rPr>
          <w:rFonts w:hint="eastAsia" w:ascii="宋体" w:hAnsi="宋体" w:cs="宋体"/>
          <w:bCs/>
          <w:sz w:val="24"/>
          <w:szCs w:val="24"/>
        </w:rPr>
        <w:t>、校准结果、复校时间间隔。</w:t>
      </w:r>
    </w:p>
    <w:p w14:paraId="6F3BDEC5">
      <w:pPr>
        <w:spacing w:line="720" w:lineRule="auto"/>
        <w:ind w:firstLine="562"/>
        <w:rPr>
          <w:rFonts w:ascii="黑体" w:hAnsi="黑体" w:eastAsia="黑体" w:cs="黑体"/>
          <w:sz w:val="24"/>
          <w:szCs w:val="24"/>
        </w:rPr>
      </w:pPr>
      <w:r>
        <w:rPr>
          <w:rFonts w:hint="eastAsia" w:ascii="黑体" w:hAnsi="黑体" w:eastAsia="黑体" w:cs="黑体"/>
          <w:sz w:val="24"/>
          <w:szCs w:val="24"/>
        </w:rPr>
        <w:t>六、项目可行性</w:t>
      </w:r>
    </w:p>
    <w:p w14:paraId="02FB1FFC">
      <w:pPr>
        <w:spacing w:line="400" w:lineRule="auto"/>
        <w:ind w:firstLine="480" w:firstLineChars="200"/>
        <w:rPr>
          <w:rFonts w:ascii="宋体" w:hAnsi="宋体" w:cs="宋体"/>
          <w:bCs/>
          <w:sz w:val="24"/>
          <w:szCs w:val="24"/>
        </w:rPr>
      </w:pPr>
      <w:r>
        <w:rPr>
          <w:rFonts w:hint="eastAsia" w:ascii="宋体" w:hAnsi="宋体" w:cs="宋体"/>
          <w:bCs/>
          <w:sz w:val="24"/>
          <w:szCs w:val="24"/>
        </w:rPr>
        <w:t>本规范的框架与初稿已形成，项目建议单位为长春市计量检定测试技术研究院，为独立法人的集计量检定、校准、检验、科研等职能为一体的公益性技术机构，是长春市政府依法设立并经相关部门授权的法定计量技术机构。本单位现有的标准器和各方面的基础条件完全满足规范规定的校准需求。</w:t>
      </w:r>
    </w:p>
    <w:p w14:paraId="629F5C1C">
      <w:pPr>
        <w:spacing w:line="400" w:lineRule="auto"/>
        <w:ind w:firstLine="480" w:firstLineChars="200"/>
        <w:rPr>
          <w:rFonts w:ascii="宋体" w:hAnsi="宋体" w:cs="宋体"/>
          <w:bCs/>
          <w:sz w:val="24"/>
          <w:szCs w:val="24"/>
        </w:rPr>
      </w:pPr>
      <w:r>
        <w:rPr>
          <w:rFonts w:hint="eastAsia" w:ascii="宋体" w:hAnsi="宋体" w:cs="宋体"/>
          <w:bCs/>
          <w:sz w:val="24"/>
          <w:szCs w:val="24"/>
        </w:rPr>
        <w:t>主要建议人于2017年至今一直从事相关计量检定工作。</w:t>
      </w:r>
    </w:p>
    <w:p w14:paraId="5EA5FB73">
      <w:pPr>
        <w:spacing w:line="400" w:lineRule="auto"/>
        <w:ind w:firstLine="480" w:firstLineChars="200"/>
        <w:rPr>
          <w:rFonts w:ascii="宋体" w:hAnsi="宋体" w:cs="宋体"/>
          <w:bCs/>
          <w:sz w:val="24"/>
          <w:szCs w:val="24"/>
        </w:rPr>
      </w:pPr>
      <w:r>
        <w:rPr>
          <w:rFonts w:hint="eastAsia" w:ascii="宋体" w:hAnsi="宋体" w:cs="宋体"/>
          <w:bCs/>
          <w:sz w:val="24"/>
          <w:szCs w:val="24"/>
        </w:rPr>
        <w:t>起草本校准规范的技术关键在于工程类比长仪量杆长度偏差及其示值误差的校准方法、明确校准时应使用的标准器和校准周期等。</w:t>
      </w:r>
    </w:p>
    <w:p w14:paraId="64298D0E">
      <w:pPr>
        <w:spacing w:line="400" w:lineRule="auto"/>
        <w:ind w:firstLine="480" w:firstLineChars="200"/>
        <w:rPr>
          <w:rFonts w:ascii="宋体" w:hAnsi="宋体" w:cs="宋体"/>
          <w:bCs/>
          <w:sz w:val="24"/>
          <w:szCs w:val="24"/>
        </w:rPr>
      </w:pPr>
      <w:r>
        <w:rPr>
          <w:rFonts w:hint="eastAsia" w:ascii="宋体" w:hAnsi="宋体" w:cs="宋体"/>
          <w:bCs/>
          <w:sz w:val="24"/>
          <w:szCs w:val="24"/>
        </w:rPr>
        <w:t>本规范填补了我省在工程类比长仪检测方法研究的空白。工程类比长仪在建筑领域的应用非常广泛，这就决定工程类比长仪的生产、使用量非常庞大。我单位自2023年至今，已服务40余家企业，校准工程类比长仪100余台，收入10万余元，潜在的可服务用户100余家，预计收入30万余元，市场容量与收益非常可观。</w:t>
      </w:r>
    </w:p>
    <w:p w14:paraId="310D37A8">
      <w:pPr>
        <w:spacing w:line="400" w:lineRule="auto"/>
        <w:ind w:firstLine="480" w:firstLineChars="200"/>
        <w:rPr>
          <w:rFonts w:ascii="宋体" w:hAnsi="宋体" w:cs="宋体"/>
          <w:bCs/>
          <w:sz w:val="24"/>
          <w:szCs w:val="24"/>
        </w:rPr>
      </w:pPr>
      <w:r>
        <w:rPr>
          <w:rFonts w:hint="eastAsia" w:ascii="宋体" w:hAnsi="宋体" w:cs="宋体"/>
          <w:bCs/>
          <w:sz w:val="24"/>
          <w:szCs w:val="24"/>
        </w:rPr>
        <w:t>以上阐述充分说明了本项目的可行性。</w:t>
      </w:r>
    </w:p>
    <w:p w14:paraId="52CC7D22">
      <w:pPr>
        <w:spacing w:line="720" w:lineRule="auto"/>
        <w:ind w:left="562"/>
        <w:rPr>
          <w:rFonts w:ascii="黑体" w:hAnsi="黑体" w:eastAsia="黑体" w:cs="黑体"/>
          <w:bCs/>
          <w:sz w:val="24"/>
          <w:szCs w:val="24"/>
        </w:rPr>
      </w:pPr>
      <w:r>
        <w:rPr>
          <w:rFonts w:hint="eastAsia" w:ascii="黑体" w:hAnsi="黑体" w:eastAsia="黑体" w:cs="黑体"/>
          <w:bCs/>
          <w:sz w:val="24"/>
          <w:szCs w:val="24"/>
        </w:rPr>
        <w:t>七、整改内容</w:t>
      </w:r>
    </w:p>
    <w:p w14:paraId="644A9EE8">
      <w:pPr>
        <w:numPr>
          <w:ilvl w:val="0"/>
          <w:numId w:val="1"/>
        </w:numPr>
        <w:spacing w:line="400" w:lineRule="auto"/>
        <w:ind w:left="562"/>
        <w:rPr>
          <w:rFonts w:ascii="Times New Roman" w:hAnsi="Times New Roman"/>
          <w:bCs/>
          <w:sz w:val="24"/>
          <w:szCs w:val="24"/>
        </w:rPr>
      </w:pPr>
      <w:r>
        <w:rPr>
          <w:rFonts w:ascii="Times New Roman" w:hAnsi="Times New Roman"/>
          <w:bCs/>
          <w:sz w:val="24"/>
          <w:szCs w:val="24"/>
        </w:rPr>
        <w:t>专家提出的意见</w:t>
      </w:r>
    </w:p>
    <w:p w14:paraId="75D8841C">
      <w:pPr>
        <w:numPr>
          <w:ilvl w:val="0"/>
          <w:numId w:val="2"/>
        </w:numPr>
        <w:spacing w:line="400" w:lineRule="auto"/>
        <w:ind w:left="0" w:leftChars="0" w:firstLine="480" w:firstLineChars="200"/>
        <w:rPr>
          <w:rFonts w:hint="eastAsia" w:ascii="Times New Roman" w:hAnsi="Times New Roman"/>
          <w:bCs/>
          <w:sz w:val="24"/>
          <w:szCs w:val="24"/>
          <w:lang w:val="en-US" w:eastAsia="zh-CN"/>
        </w:rPr>
      </w:pPr>
      <w:r>
        <w:rPr>
          <w:rFonts w:hint="eastAsia" w:ascii="Times New Roman" w:hAnsi="Times New Roman"/>
          <w:bCs/>
          <w:sz w:val="24"/>
          <w:szCs w:val="24"/>
          <w:lang w:val="en-US" w:eastAsia="zh-CN"/>
        </w:rPr>
        <w:t>示值误差校准方法部分，塞尺是否必要？</w:t>
      </w:r>
    </w:p>
    <w:p w14:paraId="37489282">
      <w:pPr>
        <w:numPr>
          <w:ilvl w:val="0"/>
          <w:numId w:val="2"/>
        </w:numPr>
        <w:spacing w:line="400" w:lineRule="auto"/>
        <w:ind w:left="0" w:leftChars="0" w:firstLine="480" w:firstLineChars="200"/>
        <w:rPr>
          <w:rFonts w:hint="eastAsia" w:ascii="Times New Roman" w:hAnsi="Times New Roman"/>
          <w:bCs/>
          <w:sz w:val="24"/>
          <w:szCs w:val="24"/>
          <w:lang w:val="en-US" w:eastAsia="zh-CN"/>
        </w:rPr>
      </w:pPr>
      <w:r>
        <w:rPr>
          <w:rFonts w:hint="eastAsia" w:ascii="Times New Roman" w:hAnsi="Times New Roman"/>
          <w:bCs/>
          <w:sz w:val="24"/>
          <w:szCs w:val="24"/>
          <w:lang w:val="en-US" w:eastAsia="zh-CN"/>
        </w:rPr>
        <w:t>示值误差计量特性±0.01mm过小，是否应重新考虑？</w:t>
      </w:r>
    </w:p>
    <w:p w14:paraId="50E61BD4">
      <w:pPr>
        <w:numPr>
          <w:ilvl w:val="0"/>
          <w:numId w:val="2"/>
        </w:numPr>
        <w:spacing w:line="400" w:lineRule="auto"/>
        <w:ind w:left="0" w:leftChars="0" w:firstLine="480" w:firstLineChars="200"/>
        <w:rPr>
          <w:rFonts w:hint="eastAsia" w:ascii="Times New Roman" w:hAnsi="Times New Roman"/>
          <w:bCs/>
          <w:sz w:val="24"/>
          <w:szCs w:val="24"/>
          <w:lang w:val="en-US" w:eastAsia="zh-CN"/>
        </w:rPr>
      </w:pPr>
      <w:r>
        <w:rPr>
          <w:rFonts w:hint="eastAsia" w:ascii="Times New Roman" w:hAnsi="Times New Roman" w:cs="Times New Roman"/>
          <w:bCs/>
          <w:sz w:val="24"/>
          <w:szCs w:val="24"/>
          <w:lang w:val="en-US" w:eastAsia="zh-CN"/>
        </w:rPr>
        <w:t>在附录C“工程类比长仪示值误差测量不确定度评定”中，重复性是否过小，数据是否有代表性？</w:t>
      </w:r>
    </w:p>
    <w:p w14:paraId="1397F329">
      <w:pPr>
        <w:numPr>
          <w:ilvl w:val="0"/>
          <w:numId w:val="2"/>
        </w:numPr>
        <w:spacing w:line="400" w:lineRule="auto"/>
        <w:ind w:left="0" w:leftChars="0" w:firstLine="480" w:firstLineChars="200"/>
        <w:rPr>
          <w:rFonts w:hint="eastAsia" w:ascii="Times New Roman" w:hAnsi="Times New Roman" w:cs="Times New Roman"/>
          <w:bCs/>
          <w:sz w:val="24"/>
          <w:szCs w:val="24"/>
          <w:lang w:val="en-US" w:eastAsia="zh-CN"/>
        </w:rPr>
      </w:pPr>
      <w:r>
        <w:rPr>
          <w:rFonts w:hint="eastAsia" w:ascii="Times New Roman" w:hAnsi="Times New Roman" w:cs="Times New Roman"/>
          <w:bCs/>
          <w:sz w:val="24"/>
          <w:szCs w:val="24"/>
          <w:lang w:val="en-US" w:eastAsia="zh-CN"/>
        </w:rPr>
        <w:t>在附录C“工程类比长仪示值误差测量不确定度评定”中，不确定度分量过少，是否需要酌情添加？</w:t>
      </w:r>
    </w:p>
    <w:p w14:paraId="1F3F721C">
      <w:pPr>
        <w:spacing w:line="400" w:lineRule="auto"/>
        <w:ind w:left="562"/>
        <w:rPr>
          <w:rFonts w:ascii="Times New Roman" w:hAnsi="Times New Roman"/>
          <w:bCs/>
          <w:sz w:val="24"/>
          <w:szCs w:val="24"/>
        </w:rPr>
      </w:pPr>
      <w:r>
        <w:rPr>
          <w:rFonts w:ascii="Times New Roman" w:hAnsi="Times New Roman"/>
          <w:bCs/>
          <w:sz w:val="24"/>
          <w:szCs w:val="24"/>
        </w:rPr>
        <w:t>2、整改内容</w:t>
      </w:r>
    </w:p>
    <w:p w14:paraId="13D7BF2C">
      <w:pPr>
        <w:spacing w:line="400" w:lineRule="auto"/>
        <w:ind w:firstLine="480" w:firstLineChars="200"/>
        <w:rPr>
          <w:rFonts w:hint="eastAsia" w:ascii="Times New Roman" w:hAnsi="Times New Roman" w:cs="Times New Roman"/>
          <w:bCs/>
          <w:sz w:val="24"/>
          <w:szCs w:val="24"/>
          <w:lang w:val="en-US" w:eastAsia="zh-CN"/>
        </w:rPr>
      </w:pPr>
      <w:r>
        <w:rPr>
          <w:rFonts w:ascii="Times New Roman" w:hAnsi="Times New Roman"/>
          <w:bCs/>
          <w:sz w:val="24"/>
          <w:szCs w:val="24"/>
        </w:rPr>
        <w:t>（1）</w:t>
      </w:r>
      <w:r>
        <w:rPr>
          <w:rFonts w:hint="eastAsia" w:ascii="Times New Roman" w:hAnsi="Times New Roman"/>
          <w:bCs/>
          <w:sz w:val="24"/>
          <w:szCs w:val="24"/>
          <w:lang w:val="en-US" w:eastAsia="zh-CN"/>
        </w:rPr>
        <w:t>已</w:t>
      </w:r>
      <w:r>
        <w:rPr>
          <w:rFonts w:hint="eastAsia" w:ascii="Times New Roman" w:hAnsi="Times New Roman" w:cs="Times New Roman"/>
          <w:bCs/>
          <w:sz w:val="24"/>
          <w:szCs w:val="24"/>
          <w:lang w:val="en-US" w:eastAsia="zh-CN"/>
        </w:rPr>
        <w:t>将标准器“塞尺”删除。</w:t>
      </w:r>
    </w:p>
    <w:p w14:paraId="61467D38">
      <w:pPr>
        <w:spacing w:line="400" w:lineRule="auto"/>
        <w:ind w:firstLine="480" w:firstLineChars="200"/>
        <w:rPr>
          <w:rFonts w:hint="eastAsia" w:ascii="Times New Roman" w:hAnsi="Times New Roman" w:cs="Times New Roman"/>
          <w:bCs/>
          <w:sz w:val="24"/>
          <w:szCs w:val="24"/>
          <w:lang w:val="en-US" w:eastAsia="zh-CN"/>
        </w:rPr>
      </w:pPr>
      <w:r>
        <w:rPr>
          <w:rFonts w:hint="eastAsia" w:ascii="Times New Roman" w:hAnsi="Times New Roman" w:cs="Times New Roman"/>
          <w:bCs/>
          <w:sz w:val="24"/>
          <w:szCs w:val="24"/>
          <w:lang w:val="en-US" w:eastAsia="zh-CN"/>
        </w:rPr>
        <w:t>（2）经多次试验和计算，将</w:t>
      </w:r>
      <w:r>
        <w:rPr>
          <w:rFonts w:hint="eastAsia" w:ascii="Times New Roman" w:hAnsi="Times New Roman"/>
          <w:bCs/>
          <w:sz w:val="24"/>
          <w:szCs w:val="24"/>
          <w:lang w:val="en-US" w:eastAsia="zh-CN"/>
        </w:rPr>
        <w:t>示值误差计量特性更改为±0.03mm。</w:t>
      </w:r>
      <w:bookmarkStart w:id="0" w:name="_GoBack"/>
      <w:bookmarkEnd w:id="0"/>
    </w:p>
    <w:p w14:paraId="4E9A8E18">
      <w:pPr>
        <w:spacing w:line="400" w:lineRule="auto"/>
        <w:ind w:firstLine="480" w:firstLineChars="200"/>
        <w:rPr>
          <w:rFonts w:hint="eastAsia" w:ascii="Times New Roman" w:hAnsi="Times New Roman" w:cs="Times New Roman"/>
          <w:bCs/>
          <w:sz w:val="24"/>
          <w:szCs w:val="24"/>
          <w:lang w:val="en-US" w:eastAsia="zh-CN"/>
        </w:rPr>
      </w:pPr>
      <w:r>
        <w:rPr>
          <w:rFonts w:hint="eastAsia" w:ascii="Times New Roman" w:hAnsi="Times New Roman" w:cs="Times New Roman"/>
          <w:bCs/>
          <w:sz w:val="24"/>
          <w:szCs w:val="24"/>
          <w:lang w:val="en-US" w:eastAsia="zh-CN"/>
        </w:rPr>
        <w:t>（3）已重新做重复性试验并重新评定重复性。</w:t>
      </w:r>
    </w:p>
    <w:p w14:paraId="2AC1C60C">
      <w:pPr>
        <w:spacing w:line="400" w:lineRule="auto"/>
        <w:ind w:firstLine="480" w:firstLineChars="200"/>
        <w:rPr>
          <w:rFonts w:hint="default" w:ascii="Times New Roman" w:hAnsi="Times New Roman" w:cs="Times New Roman"/>
          <w:bCs/>
          <w:sz w:val="24"/>
          <w:szCs w:val="24"/>
          <w:lang w:val="en-US" w:eastAsia="zh-CN"/>
        </w:rPr>
      </w:pPr>
      <w:r>
        <w:rPr>
          <w:rFonts w:hint="eastAsia" w:ascii="Times New Roman" w:hAnsi="Times New Roman" w:cs="Times New Roman"/>
          <w:bCs/>
          <w:sz w:val="24"/>
          <w:szCs w:val="24"/>
          <w:lang w:val="en-US" w:eastAsia="zh-CN"/>
        </w:rPr>
        <w:t>（4）在附录C“工程类比长仪示值误差测量不确定度评定”中，已将量块和工程类比长仪的线膨胀系数引入的不确定度分量与量块和工程类比长仪的温度差引入的不确定度分量添加到不确定度评定之中。</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74D71">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F5A61"/>
    <w:multiLevelType w:val="singleLevel"/>
    <w:tmpl w:val="A7AF5A61"/>
    <w:lvl w:ilvl="0" w:tentative="0">
      <w:start w:val="1"/>
      <w:numFmt w:val="decimal"/>
      <w:suff w:val="nothing"/>
      <w:lvlText w:val="%1、"/>
      <w:lvlJc w:val="left"/>
    </w:lvl>
  </w:abstractNum>
  <w:abstractNum w:abstractNumId="1">
    <w:nsid w:val="B0B43890"/>
    <w:multiLevelType w:val="singleLevel"/>
    <w:tmpl w:val="B0B4389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noLineBreaksAfter w:lang="zh-CN" w:val="$([{£¥·‘“〈《「『【〔〖〝﹙﹛﹝＄（．［｛￡￥"/>
  <w:noLineBreaksBefore w:lang="zh-CN" w:val="!%),.:;&gt;?]}¢¨°·ˇˉ―‖’”…‰′″›℃∶、。〃〉》」』】〕〗〞︶︺︾﹀﹄﹚﹜﹞！＂％＇），．：；？］｀｜｝～￠"/>
  <w:compat>
    <w:useFELayout/>
    <w:compatSetting w:name="compatibilityMode" w:uri="http://schemas.microsoft.com/office/word" w:val="12"/>
  </w:compat>
  <w:docVars>
    <w:docVar w:name="commondata" w:val="eyJoZGlkIjoiOTc1ZGE0Y2ExMjg3OTZkZGI1MGFhYzAzMzA2YjI1NmIifQ=="/>
  </w:docVars>
  <w:rsids>
    <w:rsidRoot w:val="005F6E33"/>
    <w:rsid w:val="00006EB6"/>
    <w:rsid w:val="000B52B0"/>
    <w:rsid w:val="001F42F2"/>
    <w:rsid w:val="0020016B"/>
    <w:rsid w:val="0023578A"/>
    <w:rsid w:val="00242B3F"/>
    <w:rsid w:val="00322C82"/>
    <w:rsid w:val="003842BC"/>
    <w:rsid w:val="00447836"/>
    <w:rsid w:val="005F6E33"/>
    <w:rsid w:val="00644BB6"/>
    <w:rsid w:val="007F0714"/>
    <w:rsid w:val="0081499F"/>
    <w:rsid w:val="00982ACC"/>
    <w:rsid w:val="00A87C71"/>
    <w:rsid w:val="00B64280"/>
    <w:rsid w:val="00C504D1"/>
    <w:rsid w:val="00C53218"/>
    <w:rsid w:val="00CA33BC"/>
    <w:rsid w:val="00CA3D5F"/>
    <w:rsid w:val="00CC6409"/>
    <w:rsid w:val="00D5387A"/>
    <w:rsid w:val="00ED226B"/>
    <w:rsid w:val="00FA6DBA"/>
    <w:rsid w:val="02B03A41"/>
    <w:rsid w:val="1C4526C3"/>
    <w:rsid w:val="20FD17BE"/>
    <w:rsid w:val="24AF753C"/>
    <w:rsid w:val="2F2C0699"/>
    <w:rsid w:val="30046732"/>
    <w:rsid w:val="3FD073D5"/>
    <w:rsid w:val="485C292C"/>
    <w:rsid w:val="558531D5"/>
    <w:rsid w:val="59B40CC3"/>
    <w:rsid w:val="63F11AAD"/>
    <w:rsid w:val="6EA05D08"/>
    <w:rsid w:val="6F906926"/>
    <w:rsid w:val="7A060655"/>
    <w:rsid w:val="7C4D3F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locked/>
    <w:uiPriority w:val="99"/>
    <w:rPr>
      <w:rFonts w:cs="Times New Roman"/>
      <w:sz w:val="18"/>
      <w:szCs w:val="18"/>
    </w:rPr>
  </w:style>
  <w:style w:type="character" w:customStyle="1" w:styleId="8">
    <w:name w:val="页脚 Char"/>
    <w:basedOn w:val="6"/>
    <w:link w:val="3"/>
    <w:semiHidden/>
    <w:qFormat/>
    <w:locked/>
    <w:uiPriority w:val="99"/>
    <w:rPr>
      <w:rFonts w:cs="Times New Roman"/>
      <w:sz w:val="18"/>
      <w:szCs w:val="18"/>
    </w:rPr>
  </w:style>
  <w:style w:type="character" w:customStyle="1" w:styleId="9">
    <w:name w:val="日期 Char"/>
    <w:basedOn w:val="6"/>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1606</Words>
  <Characters>1685</Characters>
  <Lines>11</Lines>
  <Paragraphs>3</Paragraphs>
  <TotalTime>4</TotalTime>
  <ScaleCrop>false</ScaleCrop>
  <LinksUpToDate>false</LinksUpToDate>
  <CharactersWithSpaces>1771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2024-09-25T05:57:00Z</dcterms:created>
  <dc:creator>admin</dc:creator>
  <cp:lastModifiedBy>点点</cp:lastModifiedBy>
  <dcterms:modified xsi:type="dcterms:W3CDTF">2024-09-30T08:37:07Z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1A58E458A48F4B438A531BD5D6C33E87_12</vt:lpwstr>
  </property>
</Properties>
</file>